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18"/>
        <w:gridCol w:w="9234"/>
      </w:tblGrid>
      <w:tr w:rsidR="00101D66" w:rsidTr="00E75F73">
        <w:tc>
          <w:tcPr>
            <w:tcW w:w="918" w:type="dxa"/>
          </w:tcPr>
          <w:p w:rsidR="00101D66" w:rsidRDefault="00101D66" w:rsidP="00E75F73">
            <w:r w:rsidRPr="00487E9C">
              <w:rPr>
                <w:noProof/>
              </w:rPr>
              <w:drawing>
                <wp:inline distT="0" distB="0" distL="0" distR="0">
                  <wp:extent cx="523875" cy="781050"/>
                  <wp:effectExtent l="19050" t="0" r="9525" b="0"/>
                  <wp:docPr id="8" name="Picture 3" descr="C:\Users\Public\Pictures\Sample Pictures\PMWBG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C:\Users\Public\Pictures\Sample Pictures\PMWB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531" cy="7835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34" w:type="dxa"/>
          </w:tcPr>
          <w:p w:rsidR="00101D66" w:rsidRDefault="00101D66" w:rsidP="00E75F73">
            <w:pPr>
              <w:rPr>
                <w:b/>
                <w:color w:val="4A442A" w:themeColor="background2" w:themeShade="40"/>
              </w:rPr>
            </w:pPr>
            <w:r w:rsidRPr="00487E9C">
              <w:rPr>
                <w:b/>
                <w:color w:val="4A442A" w:themeColor="background2" w:themeShade="40"/>
              </w:rPr>
              <w:t>Peter M Wells Business Group, LLC</w:t>
            </w:r>
          </w:p>
          <w:p w:rsidR="00101D66" w:rsidRDefault="005D4673" w:rsidP="00E75F73">
            <w:pPr>
              <w:rPr>
                <w:b/>
                <w:color w:val="4A442A" w:themeColor="background2" w:themeShade="40"/>
              </w:rPr>
            </w:pPr>
            <w:r w:rsidRPr="005D4673">
              <w:rPr>
                <w:noProof/>
              </w:rPr>
              <w:pict>
                <v:rect id="_x0000_s1026" style="position:absolute;margin-left:.75pt;margin-top:1.1pt;width:456.75pt;height:3.55pt;flip:y;z-index:251660288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  <w:p w:rsidR="00101D66" w:rsidRPr="00487E9C" w:rsidRDefault="00101D66" w:rsidP="00E75F73">
            <w:pPr>
              <w:rPr>
                <w:b/>
                <w:color w:val="4A442A" w:themeColor="background2" w:themeShade="40"/>
                <w:sz w:val="20"/>
                <w:szCs w:val="20"/>
              </w:rPr>
            </w:pPr>
            <w:r w:rsidRPr="00487E9C">
              <w:rPr>
                <w:b/>
                <w:color w:val="4A442A" w:themeColor="background2" w:themeShade="40"/>
                <w:sz w:val="20"/>
                <w:szCs w:val="20"/>
              </w:rPr>
              <w:t xml:space="preserve">1111 N. Marshall Street   Suite 304   Milwaukee, WI 53202   262-347-6091     </w:t>
            </w:r>
            <w:hyperlink r:id="rId6" w:history="1">
              <w:r w:rsidRPr="00515AAC">
                <w:rPr>
                  <w:rStyle w:val="Hyperlink"/>
                  <w:b/>
                  <w:sz w:val="20"/>
                  <w:szCs w:val="20"/>
                </w:rPr>
                <w:t>petermwells@peterwells.us</w:t>
              </w:r>
              <w:r w:rsidR="005D4673" w:rsidRPr="005D4673">
                <w:rPr>
                  <w:rStyle w:val="Hyperlink"/>
                  <w:b/>
                </w:rPr>
                <w:pict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_x0000_i1025" type="#_x0000_t136" style="width:110.25pt;height:15pt" fillcolor="#063" strokecolor="#484329 [814]">
                    <v:fill r:id="rId7" o:title="Paper bag" type="tile"/>
                    <v:shadow on="t" type="perspective" color="#c7dfd3" opacity=".5" origin=".5,.5" offset="-6pt,-6pt" matrix="1.25,,,1.25"/>
                    <v:textpath style="font-family:&quot;Times New Roman&quot;;v-text-kern:t" trim="t" fitpath="t" string="Information Bulletin"/>
                  </v:shape>
                </w:pict>
              </w:r>
            </w:hyperlink>
          </w:p>
        </w:tc>
      </w:tr>
    </w:tbl>
    <w:p w:rsidR="00101D66" w:rsidRDefault="00E47E69" w:rsidP="00101D66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April</w:t>
      </w:r>
      <w:r w:rsidR="00101D66">
        <w:rPr>
          <w:rFonts w:asciiTheme="majorHAnsi" w:hAnsiTheme="majorHAnsi"/>
        </w:rPr>
        <w:t xml:space="preserve"> 15</w:t>
      </w:r>
      <w:r w:rsidR="00101D66" w:rsidRPr="001547C0">
        <w:rPr>
          <w:rFonts w:asciiTheme="majorHAnsi" w:hAnsiTheme="majorHAnsi"/>
        </w:rPr>
        <w:t>, 2014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/>
      </w:tblPr>
      <w:tblGrid>
        <w:gridCol w:w="984"/>
        <w:gridCol w:w="8592"/>
      </w:tblGrid>
      <w:tr w:rsidR="00101D66" w:rsidRPr="001547C0" w:rsidTr="00E75F73">
        <w:tc>
          <w:tcPr>
            <w:tcW w:w="1008" w:type="dxa"/>
          </w:tcPr>
          <w:p w:rsidR="00101D66" w:rsidRPr="001547C0" w:rsidRDefault="00101D66" w:rsidP="00E75F73">
            <w:pPr>
              <w:rPr>
                <w:rFonts w:asciiTheme="majorHAnsi" w:hAnsiTheme="majorHAnsi"/>
                <w:sz w:val="18"/>
                <w:szCs w:val="18"/>
              </w:rPr>
            </w:pPr>
            <w:r w:rsidRPr="001547C0">
              <w:rPr>
                <w:rFonts w:asciiTheme="majorHAnsi" w:hAnsiTheme="majorHAnsi"/>
                <w:sz w:val="18"/>
                <w:szCs w:val="18"/>
              </w:rPr>
              <w:t>To:</w:t>
            </w:r>
          </w:p>
        </w:tc>
        <w:tc>
          <w:tcPr>
            <w:tcW w:w="9144" w:type="dxa"/>
          </w:tcPr>
          <w:p w:rsidR="00101D66" w:rsidRDefault="00101D66" w:rsidP="00E75F7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Insurance</w:t>
            </w:r>
            <w:r w:rsidR="006F1F6B">
              <w:rPr>
                <w:rFonts w:asciiTheme="majorHAnsi" w:hAnsiTheme="majorHAnsi"/>
                <w:b/>
              </w:rPr>
              <w:t>/Re-insurance</w:t>
            </w:r>
            <w:r>
              <w:rPr>
                <w:rFonts w:asciiTheme="majorHAnsi" w:hAnsiTheme="majorHAnsi"/>
                <w:b/>
              </w:rPr>
              <w:t xml:space="preserve"> Underwriting &amp; Claims Executives</w:t>
            </w:r>
          </w:p>
          <w:p w:rsidR="00101D66" w:rsidRPr="005F4B84" w:rsidRDefault="00101D66" w:rsidP="00E75F73">
            <w:pPr>
              <w:rPr>
                <w:rFonts w:asciiTheme="majorHAnsi" w:hAnsiTheme="majorHAnsi"/>
                <w:b/>
              </w:rPr>
            </w:pPr>
            <w:r w:rsidRPr="005F4B84">
              <w:rPr>
                <w:rFonts w:asciiTheme="majorHAnsi" w:hAnsiTheme="majorHAnsi"/>
                <w:b/>
              </w:rPr>
              <w:t>Busi</w:t>
            </w:r>
            <w:r>
              <w:rPr>
                <w:rFonts w:asciiTheme="majorHAnsi" w:hAnsiTheme="majorHAnsi"/>
                <w:b/>
              </w:rPr>
              <w:t>ness Development Leaders</w:t>
            </w:r>
            <w:r w:rsidR="006F1F6B">
              <w:rPr>
                <w:rFonts w:asciiTheme="majorHAnsi" w:hAnsiTheme="majorHAnsi"/>
                <w:b/>
              </w:rPr>
              <w:t>/Risk Prevention Managers</w:t>
            </w:r>
          </w:p>
          <w:p w:rsidR="00101D66" w:rsidRPr="001547C0" w:rsidRDefault="00101D66" w:rsidP="00E75F73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101D66" w:rsidRPr="001547C0" w:rsidTr="00E75F73">
        <w:tc>
          <w:tcPr>
            <w:tcW w:w="1008" w:type="dxa"/>
          </w:tcPr>
          <w:p w:rsidR="00101D66" w:rsidRPr="001547C0" w:rsidRDefault="00101D66" w:rsidP="00E75F73">
            <w:pPr>
              <w:rPr>
                <w:rFonts w:asciiTheme="majorHAnsi" w:hAnsiTheme="majorHAnsi"/>
                <w:sz w:val="18"/>
                <w:szCs w:val="18"/>
              </w:rPr>
            </w:pPr>
            <w:r w:rsidRPr="001547C0">
              <w:rPr>
                <w:rFonts w:asciiTheme="majorHAnsi" w:hAnsiTheme="majorHAnsi"/>
                <w:sz w:val="18"/>
                <w:szCs w:val="18"/>
              </w:rPr>
              <w:t>From:</w:t>
            </w:r>
          </w:p>
        </w:tc>
        <w:tc>
          <w:tcPr>
            <w:tcW w:w="9144" w:type="dxa"/>
          </w:tcPr>
          <w:p w:rsidR="00101D66" w:rsidRPr="00E86FC2" w:rsidRDefault="00101D66" w:rsidP="00E75F73">
            <w:pPr>
              <w:rPr>
                <w:rFonts w:asciiTheme="majorHAnsi" w:hAnsiTheme="majorHAnsi"/>
              </w:rPr>
            </w:pPr>
            <w:r w:rsidRPr="00E86FC2">
              <w:rPr>
                <w:rFonts w:asciiTheme="majorHAnsi" w:hAnsiTheme="majorHAnsi"/>
              </w:rPr>
              <w:t>Pete</w:t>
            </w:r>
            <w:r>
              <w:rPr>
                <w:rFonts w:asciiTheme="majorHAnsi" w:hAnsiTheme="majorHAnsi"/>
              </w:rPr>
              <w:t>r M Wells Business Group (Wells Group</w:t>
            </w:r>
            <w:r w:rsidRPr="00E86FC2">
              <w:rPr>
                <w:rFonts w:asciiTheme="majorHAnsi" w:hAnsiTheme="majorHAnsi"/>
              </w:rPr>
              <w:t>)</w:t>
            </w:r>
          </w:p>
          <w:p w:rsidR="00101D66" w:rsidRPr="001547C0" w:rsidRDefault="00101D66" w:rsidP="00E75F73">
            <w:pPr>
              <w:rPr>
                <w:rFonts w:asciiTheme="majorHAnsi" w:hAnsiTheme="majorHAnsi"/>
                <w:b/>
              </w:rPr>
            </w:pPr>
          </w:p>
        </w:tc>
      </w:tr>
      <w:tr w:rsidR="00101D66" w:rsidRPr="001547C0" w:rsidTr="00E75F73">
        <w:tc>
          <w:tcPr>
            <w:tcW w:w="1008" w:type="dxa"/>
          </w:tcPr>
          <w:p w:rsidR="00101D66" w:rsidRPr="001547C0" w:rsidRDefault="00101D66" w:rsidP="00E75F7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Re:</w:t>
            </w:r>
          </w:p>
        </w:tc>
        <w:tc>
          <w:tcPr>
            <w:tcW w:w="9144" w:type="dxa"/>
          </w:tcPr>
          <w:p w:rsidR="00101D66" w:rsidRDefault="00101D66" w:rsidP="00E75F7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Insurance Innovation and Earnings Improvement</w:t>
            </w:r>
          </w:p>
          <w:p w:rsidR="00101D66" w:rsidRDefault="00101D66" w:rsidP="00E75F73">
            <w:pPr>
              <w:rPr>
                <w:rFonts w:asciiTheme="majorHAnsi" w:hAnsiTheme="majorHAnsi"/>
                <w:b/>
              </w:rPr>
            </w:pPr>
          </w:p>
          <w:p w:rsidR="00101D66" w:rsidRDefault="00101D66" w:rsidP="00E75F73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Reinsurance Companies Learn New Ways to Identify Maintenance Problems in Books of Property Business to Bring Down Catastrophic Event Loss Costs  </w:t>
            </w:r>
          </w:p>
          <w:p w:rsidR="00101D66" w:rsidRDefault="00101D66" w:rsidP="00E75F73">
            <w:pPr>
              <w:jc w:val="both"/>
              <w:rPr>
                <w:rFonts w:asciiTheme="majorHAnsi" w:hAnsiTheme="majorHAnsi"/>
                <w:b/>
              </w:rPr>
            </w:pPr>
          </w:p>
          <w:p w:rsidR="00101D66" w:rsidRDefault="00101D66" w:rsidP="00101D66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Insurers Use Life-Cycle Cost (LCC) Data to Determine Impending </w:t>
            </w:r>
            <w:proofErr w:type="gramStart"/>
            <w:r>
              <w:rPr>
                <w:rFonts w:asciiTheme="majorHAnsi" w:hAnsiTheme="majorHAnsi"/>
                <w:b/>
              </w:rPr>
              <w:t>Maintenance  Failures</w:t>
            </w:r>
            <w:proofErr w:type="gramEnd"/>
            <w:r>
              <w:rPr>
                <w:rFonts w:asciiTheme="majorHAnsi" w:hAnsiTheme="majorHAnsi"/>
                <w:b/>
              </w:rPr>
              <w:t xml:space="preserve"> That Increase Damage If Ignored.  </w:t>
            </w:r>
          </w:p>
        </w:tc>
      </w:tr>
    </w:tbl>
    <w:p w:rsidR="0059091B" w:rsidRDefault="0059091B" w:rsidP="0059091B">
      <w:pPr>
        <w:shd w:val="clear" w:color="auto" w:fill="FFFFFF"/>
        <w:spacing w:after="0" w:line="255" w:lineRule="atLeast"/>
        <w:textAlignment w:val="baseline"/>
        <w:rPr>
          <w:rFonts w:ascii="inherit" w:eastAsia="Times New Roman" w:hAnsi="inherit" w:cs="Arial"/>
          <w:color w:val="333333"/>
          <w:sz w:val="20"/>
        </w:rPr>
      </w:pPr>
    </w:p>
    <w:p w:rsidR="00101D66" w:rsidRDefault="0059091B" w:rsidP="00101D66">
      <w:pPr>
        <w:shd w:val="clear" w:color="auto" w:fill="FFFFFF"/>
        <w:spacing w:after="0" w:line="255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101D66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</w:rPr>
        <w:br/>
      </w:r>
      <w:r w:rsidR="00101D66">
        <w:rPr>
          <w:rFonts w:ascii="inherit" w:eastAsia="Times New Roman" w:hAnsi="inherit" w:cs="Arial"/>
          <w:color w:val="333333"/>
          <w:sz w:val="24"/>
          <w:szCs w:val="24"/>
        </w:rPr>
        <w:t>At The Wells Group</w:t>
      </w:r>
      <w:r w:rsidRPr="00101D66">
        <w:rPr>
          <w:rFonts w:ascii="inherit" w:eastAsia="Times New Roman" w:hAnsi="inherit" w:cs="Arial"/>
          <w:color w:val="333333"/>
          <w:sz w:val="24"/>
          <w:szCs w:val="24"/>
        </w:rPr>
        <w:t xml:space="preserve">, we have been gaining new and exciting traction in the property insurance industry </w:t>
      </w:r>
      <w:r w:rsidR="00101D66">
        <w:rPr>
          <w:rFonts w:ascii="inherit" w:eastAsia="Times New Roman" w:hAnsi="inherit" w:cs="Arial"/>
          <w:color w:val="333333"/>
          <w:sz w:val="24"/>
          <w:szCs w:val="24"/>
        </w:rPr>
        <w:t xml:space="preserve">through the introduction of </w:t>
      </w:r>
      <w:r w:rsidRPr="00101D66">
        <w:rPr>
          <w:rFonts w:ascii="inherit" w:eastAsia="Times New Roman" w:hAnsi="inherit" w:cs="Arial"/>
          <w:color w:val="333333"/>
          <w:sz w:val="24"/>
          <w:szCs w:val="24"/>
        </w:rPr>
        <w:t xml:space="preserve">our Life Cycle Cost </w:t>
      </w:r>
      <w:r w:rsidR="00101D66">
        <w:rPr>
          <w:rFonts w:ascii="inherit" w:eastAsia="Times New Roman" w:hAnsi="inherit" w:cs="Arial"/>
          <w:color w:val="333333"/>
          <w:sz w:val="24"/>
          <w:szCs w:val="24"/>
        </w:rPr>
        <w:t xml:space="preserve">(LCC) </w:t>
      </w:r>
      <w:r w:rsidRPr="00101D66">
        <w:rPr>
          <w:rFonts w:ascii="inherit" w:eastAsia="Times New Roman" w:hAnsi="inherit" w:cs="Arial"/>
          <w:color w:val="333333"/>
          <w:sz w:val="24"/>
          <w:szCs w:val="24"/>
        </w:rPr>
        <w:t>Predictive Modeling. A top property insurance writer</w:t>
      </w:r>
      <w:r w:rsidR="00101D66">
        <w:rPr>
          <w:rFonts w:ascii="inherit" w:eastAsia="Times New Roman" w:hAnsi="inherit" w:cs="Arial"/>
          <w:color w:val="333333"/>
          <w:sz w:val="24"/>
          <w:szCs w:val="24"/>
        </w:rPr>
        <w:t xml:space="preserve"> recently</w:t>
      </w:r>
      <w:r w:rsidRPr="00101D66">
        <w:rPr>
          <w:rFonts w:ascii="inherit" w:eastAsia="Times New Roman" w:hAnsi="inherit" w:cs="Arial"/>
          <w:color w:val="333333"/>
          <w:sz w:val="24"/>
          <w:szCs w:val="24"/>
        </w:rPr>
        <w:t xml:space="preserve"> developed a report addressing the effectiveness of the program </w:t>
      </w:r>
      <w:r w:rsidR="00101D66">
        <w:rPr>
          <w:rFonts w:ascii="inherit" w:eastAsia="Times New Roman" w:hAnsi="inherit" w:cs="Arial"/>
          <w:color w:val="333333"/>
          <w:sz w:val="24"/>
          <w:szCs w:val="24"/>
        </w:rPr>
        <w:t xml:space="preserve">giving the system high marks for </w:t>
      </w:r>
      <w:r w:rsidRPr="00101D66">
        <w:rPr>
          <w:rFonts w:ascii="inherit" w:eastAsia="Times New Roman" w:hAnsi="inherit" w:cs="Arial"/>
          <w:color w:val="333333"/>
          <w:sz w:val="24"/>
          <w:szCs w:val="24"/>
        </w:rPr>
        <w:t xml:space="preserve">predicting loss experience and </w:t>
      </w:r>
      <w:r w:rsidR="00101D66">
        <w:rPr>
          <w:rFonts w:ascii="inherit" w:eastAsia="Times New Roman" w:hAnsi="inherit" w:cs="Arial"/>
          <w:color w:val="333333"/>
          <w:sz w:val="24"/>
          <w:szCs w:val="24"/>
        </w:rPr>
        <w:t>also saw its benefits as an alternative to credit. A</w:t>
      </w:r>
      <w:r w:rsidRPr="00101D66">
        <w:rPr>
          <w:rFonts w:ascii="inherit" w:eastAsia="Times New Roman" w:hAnsi="inherit" w:cs="Arial"/>
          <w:color w:val="333333"/>
          <w:sz w:val="24"/>
          <w:szCs w:val="24"/>
        </w:rPr>
        <w:t xml:space="preserve">t the same time </w:t>
      </w:r>
      <w:r w:rsidR="00101D66">
        <w:rPr>
          <w:rFonts w:ascii="inherit" w:eastAsia="Times New Roman" w:hAnsi="inherit" w:cs="Arial"/>
          <w:color w:val="333333"/>
          <w:sz w:val="24"/>
          <w:szCs w:val="24"/>
        </w:rPr>
        <w:t xml:space="preserve">several </w:t>
      </w:r>
      <w:r w:rsidRPr="00101D66">
        <w:rPr>
          <w:rFonts w:ascii="inherit" w:eastAsia="Times New Roman" w:hAnsi="inherit" w:cs="Arial"/>
          <w:color w:val="333333"/>
          <w:sz w:val="24"/>
          <w:szCs w:val="24"/>
        </w:rPr>
        <w:t>large writers continue to ask to test the program</w:t>
      </w:r>
      <w:r w:rsidR="00101D66">
        <w:rPr>
          <w:rFonts w:ascii="inherit" w:eastAsia="Times New Roman" w:hAnsi="inherit" w:cs="Arial"/>
          <w:color w:val="333333"/>
          <w:sz w:val="24"/>
          <w:szCs w:val="24"/>
        </w:rPr>
        <w:t xml:space="preserve"> in their risk selection and pricing with a fresh perspective on competitive positioning emerging since they </w:t>
      </w:r>
      <w:r w:rsidR="00101D66">
        <w:rPr>
          <w:rFonts w:ascii="inherit" w:eastAsia="Times New Roman" w:hAnsi="inherit" w:cs="Arial" w:hint="eastAsia"/>
          <w:color w:val="333333"/>
          <w:sz w:val="24"/>
          <w:szCs w:val="24"/>
        </w:rPr>
        <w:t>finally</w:t>
      </w:r>
      <w:r w:rsidR="00101D66">
        <w:rPr>
          <w:rFonts w:ascii="inherit" w:eastAsia="Times New Roman" w:hAnsi="inherit" w:cs="Arial"/>
          <w:color w:val="333333"/>
          <w:sz w:val="24"/>
          <w:szCs w:val="24"/>
        </w:rPr>
        <w:t xml:space="preserve"> can unders</w:t>
      </w:r>
      <w:r w:rsidRPr="00101D66">
        <w:rPr>
          <w:rFonts w:ascii="inherit" w:eastAsia="Times New Roman" w:hAnsi="inherit" w:cs="Arial"/>
          <w:color w:val="333333"/>
          <w:sz w:val="24"/>
          <w:szCs w:val="24"/>
        </w:rPr>
        <w:t>t</w:t>
      </w:r>
      <w:r w:rsidR="00101D66">
        <w:rPr>
          <w:rFonts w:ascii="inherit" w:eastAsia="Times New Roman" w:hAnsi="inherit" w:cs="Arial"/>
          <w:color w:val="333333"/>
          <w:sz w:val="24"/>
          <w:szCs w:val="24"/>
        </w:rPr>
        <w:t>and 90% of non-catastrophic building claims they pay</w:t>
      </w:r>
      <w:r w:rsidRPr="00101D66">
        <w:rPr>
          <w:rFonts w:ascii="inherit" w:eastAsia="Times New Roman" w:hAnsi="inherit" w:cs="Arial"/>
          <w:color w:val="333333"/>
          <w:sz w:val="24"/>
          <w:szCs w:val="24"/>
        </w:rPr>
        <w:t>.</w:t>
      </w:r>
      <w:r w:rsidRPr="00101D66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</w:rPr>
        <w:br/>
      </w:r>
      <w:r w:rsidRPr="00101D66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</w:rPr>
        <w:br/>
      </w:r>
      <w:r w:rsidR="00101D66">
        <w:rPr>
          <w:rFonts w:ascii="inherit" w:eastAsia="Times New Roman" w:hAnsi="inherit" w:cs="Arial"/>
          <w:color w:val="333333"/>
          <w:sz w:val="24"/>
          <w:szCs w:val="24"/>
        </w:rPr>
        <w:t>We also learned new things for reinsurance models when catastrophic losses like wind happen</w:t>
      </w:r>
      <w:r w:rsidRPr="00101D66">
        <w:rPr>
          <w:rFonts w:ascii="inherit" w:eastAsia="Times New Roman" w:hAnsi="inherit" w:cs="Arial"/>
          <w:color w:val="333333"/>
          <w:sz w:val="24"/>
          <w:szCs w:val="24"/>
        </w:rPr>
        <w:t xml:space="preserve"> </w:t>
      </w:r>
      <w:r w:rsidR="00101D66">
        <w:rPr>
          <w:rFonts w:ascii="inherit" w:eastAsia="Times New Roman" w:hAnsi="inherit" w:cs="Arial"/>
          <w:color w:val="333333"/>
          <w:sz w:val="24"/>
          <w:szCs w:val="24"/>
        </w:rPr>
        <w:t>that we</w:t>
      </w:r>
      <w:r w:rsidRPr="00101D66">
        <w:rPr>
          <w:rFonts w:ascii="inherit" w:eastAsia="Times New Roman" w:hAnsi="inherit" w:cs="Arial"/>
          <w:color w:val="333333"/>
          <w:sz w:val="24"/>
          <w:szCs w:val="24"/>
        </w:rPr>
        <w:t xml:space="preserve"> </w:t>
      </w:r>
      <w:r w:rsidR="00E47E69">
        <w:rPr>
          <w:rFonts w:ascii="inherit" w:eastAsia="Times New Roman" w:hAnsi="inherit" w:cs="Arial"/>
          <w:color w:val="333333"/>
          <w:sz w:val="24"/>
          <w:szCs w:val="24"/>
        </w:rPr>
        <w:t>wanted to share</w:t>
      </w:r>
      <w:r w:rsidRPr="00101D66">
        <w:rPr>
          <w:rFonts w:ascii="inherit" w:eastAsia="Times New Roman" w:hAnsi="inherit" w:cs="Arial"/>
          <w:color w:val="333333"/>
          <w:sz w:val="24"/>
          <w:szCs w:val="24"/>
        </w:rPr>
        <w:t>.</w:t>
      </w:r>
    </w:p>
    <w:p w:rsidR="00E47E69" w:rsidRDefault="0059091B" w:rsidP="00E47E69">
      <w:pPr>
        <w:shd w:val="clear" w:color="auto" w:fill="FFFFFF"/>
        <w:spacing w:after="0" w:line="255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101D66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</w:rPr>
        <w:br/>
      </w:r>
      <w:r w:rsidRPr="00101D66">
        <w:rPr>
          <w:rFonts w:ascii="inherit" w:eastAsia="Times New Roman" w:hAnsi="inherit" w:cs="Arial"/>
          <w:color w:val="333333"/>
          <w:sz w:val="24"/>
          <w:szCs w:val="24"/>
        </w:rPr>
        <w:t xml:space="preserve">Actually, cat models come under fire after major events since they can understate the </w:t>
      </w:r>
      <w:r w:rsidR="00E47E69">
        <w:rPr>
          <w:rFonts w:ascii="inherit" w:eastAsia="Times New Roman" w:hAnsi="inherit" w:cs="Arial"/>
          <w:color w:val="333333"/>
          <w:sz w:val="24"/>
          <w:szCs w:val="24"/>
        </w:rPr>
        <w:t xml:space="preserve">magnitude of the </w:t>
      </w:r>
      <w:r w:rsidRPr="00101D66">
        <w:rPr>
          <w:rFonts w:ascii="inherit" w:eastAsia="Times New Roman" w:hAnsi="inherit" w:cs="Arial"/>
          <w:color w:val="333333"/>
          <w:sz w:val="24"/>
          <w:szCs w:val="24"/>
        </w:rPr>
        <w:t>problem</w:t>
      </w:r>
      <w:r w:rsidR="00E47E69">
        <w:rPr>
          <w:rFonts w:ascii="inherit" w:eastAsia="Times New Roman" w:hAnsi="inherit" w:cs="Arial"/>
          <w:color w:val="333333"/>
          <w:sz w:val="24"/>
          <w:szCs w:val="24"/>
        </w:rPr>
        <w:t xml:space="preserve"> and associated expense</w:t>
      </w:r>
      <w:r w:rsidRPr="00101D66">
        <w:rPr>
          <w:rFonts w:ascii="inherit" w:eastAsia="Times New Roman" w:hAnsi="inherit" w:cs="Arial"/>
          <w:color w:val="333333"/>
          <w:sz w:val="24"/>
          <w:szCs w:val="24"/>
        </w:rPr>
        <w:t xml:space="preserve">. We have looked at Insurance to Value as a culprit, and work is being done on that front. But something bigger is occurring we believe that is not </w:t>
      </w:r>
      <w:r w:rsidR="00E47E69">
        <w:rPr>
          <w:rFonts w:ascii="inherit" w:eastAsia="Times New Roman" w:hAnsi="inherit" w:cs="Arial"/>
          <w:color w:val="333333"/>
          <w:sz w:val="24"/>
          <w:szCs w:val="24"/>
        </w:rPr>
        <w:t xml:space="preserve">being addressed. Our belief is shared with </w:t>
      </w:r>
      <w:r w:rsidRPr="00101D66">
        <w:rPr>
          <w:rFonts w:ascii="inherit" w:eastAsia="Times New Roman" w:hAnsi="inherit" w:cs="Arial"/>
          <w:color w:val="333333"/>
          <w:sz w:val="24"/>
          <w:szCs w:val="24"/>
        </w:rPr>
        <w:t>other industry engineering firms like IBHS</w:t>
      </w:r>
      <w:r w:rsidR="00E47E69">
        <w:rPr>
          <w:rFonts w:ascii="inherit" w:eastAsia="Times New Roman" w:hAnsi="inherit" w:cs="Arial"/>
          <w:color w:val="333333"/>
          <w:sz w:val="24"/>
          <w:szCs w:val="24"/>
        </w:rPr>
        <w:t xml:space="preserve">, that being </w:t>
      </w:r>
      <w:r w:rsidRPr="00101D66">
        <w:rPr>
          <w:rFonts w:ascii="inherit" w:eastAsia="Times New Roman" w:hAnsi="inherit" w:cs="Arial"/>
          <w:color w:val="333333"/>
          <w:sz w:val="24"/>
          <w:szCs w:val="24"/>
        </w:rPr>
        <w:t xml:space="preserve">that existing models can't adequately address the condition of homes and commercial properties at the time an event occurs to understand the degree of maintenance neglect that will </w:t>
      </w:r>
      <w:r w:rsidR="00E47E69">
        <w:rPr>
          <w:rFonts w:ascii="inherit" w:eastAsia="Times New Roman" w:hAnsi="inherit" w:cs="Arial"/>
          <w:color w:val="333333"/>
          <w:sz w:val="24"/>
          <w:szCs w:val="24"/>
        </w:rPr>
        <w:t xml:space="preserve">ultimately </w:t>
      </w:r>
      <w:r w:rsidRPr="00101D66">
        <w:rPr>
          <w:rFonts w:ascii="inherit" w:eastAsia="Times New Roman" w:hAnsi="inherit" w:cs="Arial"/>
          <w:color w:val="333333"/>
          <w:sz w:val="24"/>
          <w:szCs w:val="24"/>
        </w:rPr>
        <w:t>impact loss</w:t>
      </w:r>
      <w:r w:rsidR="00E47E69">
        <w:rPr>
          <w:rFonts w:ascii="inherit" w:eastAsia="Times New Roman" w:hAnsi="inherit" w:cs="Arial"/>
          <w:color w:val="333333"/>
          <w:sz w:val="24"/>
          <w:szCs w:val="24"/>
        </w:rPr>
        <w:t xml:space="preserve"> and associated expense</w:t>
      </w:r>
      <w:r w:rsidRPr="00101D66">
        <w:rPr>
          <w:rFonts w:ascii="inherit" w:eastAsia="Times New Roman" w:hAnsi="inherit" w:cs="Arial"/>
          <w:color w:val="333333"/>
          <w:sz w:val="24"/>
          <w:szCs w:val="24"/>
        </w:rPr>
        <w:t>.</w:t>
      </w:r>
    </w:p>
    <w:p w:rsidR="00E47E69" w:rsidRDefault="0059091B" w:rsidP="00E47E69">
      <w:pPr>
        <w:shd w:val="clear" w:color="auto" w:fill="FFFFFF"/>
        <w:spacing w:after="0" w:line="255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101D66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</w:rPr>
        <w:br/>
      </w:r>
      <w:r w:rsidRPr="00101D66">
        <w:rPr>
          <w:rFonts w:ascii="inherit" w:eastAsia="Times New Roman" w:hAnsi="inherit" w:cs="Arial"/>
          <w:color w:val="333333"/>
          <w:sz w:val="24"/>
          <w:szCs w:val="24"/>
        </w:rPr>
        <w:t xml:space="preserve">What we discovered recently is that building owners </w:t>
      </w:r>
      <w:r w:rsidR="00E47E69">
        <w:rPr>
          <w:rFonts w:ascii="inherit" w:eastAsia="Times New Roman" w:hAnsi="inherit" w:cs="Arial"/>
          <w:color w:val="333333"/>
          <w:sz w:val="24"/>
          <w:szCs w:val="24"/>
        </w:rPr>
        <w:t>to often allow structures</w:t>
      </w:r>
      <w:r w:rsidRPr="00101D66">
        <w:rPr>
          <w:rFonts w:ascii="inherit" w:eastAsia="Times New Roman" w:hAnsi="inherit" w:cs="Arial"/>
          <w:color w:val="333333"/>
          <w:sz w:val="24"/>
          <w:szCs w:val="24"/>
        </w:rPr>
        <w:t xml:space="preserve"> to be maintained poorly, </w:t>
      </w:r>
      <w:r w:rsidR="00E47E69">
        <w:rPr>
          <w:rFonts w:ascii="inherit" w:eastAsia="Times New Roman" w:hAnsi="inherit" w:cs="Arial"/>
          <w:color w:val="333333"/>
          <w:sz w:val="24"/>
          <w:szCs w:val="24"/>
        </w:rPr>
        <w:t>not because of poor investment practices as much as from a lack of knowledge on what needs maintenance. N</w:t>
      </w:r>
      <w:r w:rsidRPr="00101D66">
        <w:rPr>
          <w:rFonts w:ascii="inherit" w:eastAsia="Times New Roman" w:hAnsi="inherit" w:cs="Arial"/>
          <w:color w:val="333333"/>
          <w:sz w:val="24"/>
          <w:szCs w:val="24"/>
        </w:rPr>
        <w:t xml:space="preserve">o matter what quality of construction or building code upgrade, </w:t>
      </w:r>
      <w:r w:rsidR="00E47E69">
        <w:rPr>
          <w:rFonts w:ascii="inherit" w:eastAsia="Times New Roman" w:hAnsi="inherit" w:cs="Arial"/>
          <w:color w:val="333333"/>
          <w:sz w:val="24"/>
          <w:szCs w:val="24"/>
        </w:rPr>
        <w:t xml:space="preserve">no matter how much coverage is maintained, </w:t>
      </w:r>
      <w:r w:rsidRPr="00101D66">
        <w:rPr>
          <w:rFonts w:ascii="inherit" w:eastAsia="Times New Roman" w:hAnsi="inherit" w:cs="Arial"/>
          <w:color w:val="333333"/>
          <w:sz w:val="24"/>
          <w:szCs w:val="24"/>
        </w:rPr>
        <w:t>failure to ma</w:t>
      </w:r>
      <w:r w:rsidR="00E47E69">
        <w:rPr>
          <w:rFonts w:ascii="inherit" w:eastAsia="Times New Roman" w:hAnsi="inherit" w:cs="Arial"/>
          <w:color w:val="333333"/>
          <w:sz w:val="24"/>
          <w:szCs w:val="24"/>
        </w:rPr>
        <w:t>intain the properties means the neglected components (like roof, walls, windows, etc) cause the structure to fail even in a minor event.</w:t>
      </w:r>
      <w:r w:rsidRPr="00101D66">
        <w:rPr>
          <w:rFonts w:ascii="inherit" w:eastAsia="Times New Roman" w:hAnsi="inherit" w:cs="Arial"/>
          <w:color w:val="333333"/>
          <w:sz w:val="24"/>
          <w:szCs w:val="24"/>
        </w:rPr>
        <w:t xml:space="preserve"> </w:t>
      </w:r>
      <w:r w:rsidR="00E47E69">
        <w:rPr>
          <w:rFonts w:ascii="inherit" w:eastAsia="Times New Roman" w:hAnsi="inherit" w:cs="Arial"/>
          <w:color w:val="333333"/>
          <w:sz w:val="24"/>
          <w:szCs w:val="24"/>
        </w:rPr>
        <w:t xml:space="preserve">Actually, we </w:t>
      </w:r>
      <w:r w:rsidRPr="00101D66">
        <w:rPr>
          <w:rFonts w:ascii="inherit" w:eastAsia="Times New Roman" w:hAnsi="inherit" w:cs="Arial"/>
          <w:color w:val="333333"/>
          <w:sz w:val="24"/>
          <w:szCs w:val="24"/>
        </w:rPr>
        <w:t xml:space="preserve">believe if </w:t>
      </w:r>
      <w:r w:rsidR="00E47E69">
        <w:rPr>
          <w:rFonts w:ascii="inherit" w:eastAsia="Times New Roman" w:hAnsi="inherit" w:cs="Arial"/>
          <w:color w:val="333333"/>
          <w:sz w:val="24"/>
          <w:szCs w:val="24"/>
        </w:rPr>
        <w:t xml:space="preserve">reinsurance companies </w:t>
      </w:r>
      <w:r w:rsidRPr="00101D66">
        <w:rPr>
          <w:rFonts w:ascii="inherit" w:eastAsia="Times New Roman" w:hAnsi="inherit" w:cs="Arial"/>
          <w:color w:val="333333"/>
          <w:sz w:val="24"/>
          <w:szCs w:val="24"/>
        </w:rPr>
        <w:t xml:space="preserve">ran a Whitestone report on books of business going through catastrophe modeling, </w:t>
      </w:r>
      <w:r w:rsidR="00E47E69">
        <w:rPr>
          <w:rFonts w:ascii="inherit" w:eastAsia="Times New Roman" w:hAnsi="inherit" w:cs="Arial"/>
          <w:color w:val="333333"/>
          <w:sz w:val="24"/>
          <w:szCs w:val="24"/>
        </w:rPr>
        <w:t>especially in pre-disaster analysis</w:t>
      </w:r>
      <w:r w:rsidRPr="00101D66">
        <w:rPr>
          <w:rFonts w:ascii="inherit" w:eastAsia="Times New Roman" w:hAnsi="inherit" w:cs="Arial"/>
          <w:color w:val="333333"/>
          <w:sz w:val="24"/>
          <w:szCs w:val="24"/>
        </w:rPr>
        <w:t xml:space="preserve">, predictions could </w:t>
      </w:r>
      <w:r w:rsidR="00E47E69">
        <w:rPr>
          <w:rFonts w:ascii="inherit" w:eastAsia="Times New Roman" w:hAnsi="inherit" w:cs="Arial"/>
          <w:color w:val="333333"/>
          <w:sz w:val="24"/>
          <w:szCs w:val="24"/>
        </w:rPr>
        <w:lastRenderedPageBreak/>
        <w:t xml:space="preserve">improve at the same time </w:t>
      </w:r>
      <w:r w:rsidRPr="00101D66">
        <w:rPr>
          <w:rFonts w:ascii="inherit" w:eastAsia="Times New Roman" w:hAnsi="inherit" w:cs="Arial"/>
          <w:color w:val="333333"/>
          <w:sz w:val="24"/>
          <w:szCs w:val="24"/>
        </w:rPr>
        <w:t>highlight the maintenan</w:t>
      </w:r>
      <w:r w:rsidR="00E47E69">
        <w:rPr>
          <w:rFonts w:ascii="inherit" w:eastAsia="Times New Roman" w:hAnsi="inherit" w:cs="Arial"/>
          <w:color w:val="333333"/>
          <w:sz w:val="24"/>
          <w:szCs w:val="24"/>
        </w:rPr>
        <w:t>ce exposure that will impact</w:t>
      </w:r>
      <w:r w:rsidRPr="00101D66">
        <w:rPr>
          <w:rFonts w:ascii="inherit" w:eastAsia="Times New Roman" w:hAnsi="inherit" w:cs="Arial"/>
          <w:color w:val="333333"/>
          <w:sz w:val="24"/>
          <w:szCs w:val="24"/>
        </w:rPr>
        <w:t xml:space="preserve"> loss experience. Using the Whitestone scores we developed, we believe you could improve the risk predictions substantially</w:t>
      </w:r>
      <w:r w:rsidRPr="00101D66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</w:rPr>
        <w:br/>
      </w:r>
      <w:r w:rsidRPr="00101D66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</w:rPr>
        <w:br/>
      </w:r>
      <w:r w:rsidRPr="00101D66">
        <w:rPr>
          <w:rFonts w:ascii="inherit" w:eastAsia="Times New Roman" w:hAnsi="inherit" w:cs="Arial"/>
          <w:color w:val="333333"/>
          <w:sz w:val="24"/>
          <w:szCs w:val="24"/>
        </w:rPr>
        <w:t>It might be worth a look.</w:t>
      </w:r>
    </w:p>
    <w:p w:rsidR="00E47E69" w:rsidRDefault="0059091B" w:rsidP="00101D66">
      <w:pPr>
        <w:shd w:val="clear" w:color="auto" w:fill="FFFFFF"/>
        <w:spacing w:after="0" w:line="255" w:lineRule="atLeast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101D66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</w:rPr>
        <w:br/>
      </w:r>
      <w:r w:rsidRPr="00101D66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</w:rPr>
        <w:br/>
      </w:r>
      <w:r w:rsidRPr="00101D66">
        <w:rPr>
          <w:rFonts w:ascii="inherit" w:eastAsia="Times New Roman" w:hAnsi="inherit" w:cs="Arial"/>
          <w:color w:val="333333"/>
          <w:sz w:val="24"/>
          <w:szCs w:val="24"/>
        </w:rPr>
        <w:t>Respectfully</w:t>
      </w:r>
      <w:proofErr w:type="gramStart"/>
      <w:r w:rsidRPr="00101D66">
        <w:rPr>
          <w:rFonts w:ascii="inherit" w:eastAsia="Times New Roman" w:hAnsi="inherit" w:cs="Arial"/>
          <w:color w:val="333333"/>
          <w:sz w:val="24"/>
          <w:szCs w:val="24"/>
        </w:rPr>
        <w:t>;</w:t>
      </w:r>
      <w:proofErr w:type="gramEnd"/>
      <w:r w:rsidRPr="00101D66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</w:rPr>
        <w:br/>
      </w:r>
      <w:r w:rsidRPr="00101D66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</w:rPr>
        <w:br/>
      </w:r>
      <w:r w:rsidRPr="00101D66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</w:rPr>
        <w:br/>
      </w:r>
      <w:r w:rsidRPr="00101D66">
        <w:rPr>
          <w:rFonts w:ascii="inherit" w:eastAsia="Times New Roman" w:hAnsi="inherit" w:cs="Arial"/>
          <w:color w:val="333333"/>
          <w:sz w:val="24"/>
          <w:szCs w:val="24"/>
        </w:rPr>
        <w:t>Peter Wells</w:t>
      </w:r>
    </w:p>
    <w:p w:rsidR="0059091B" w:rsidRPr="00E47E69" w:rsidRDefault="0059091B" w:rsidP="00101D66">
      <w:pPr>
        <w:shd w:val="clear" w:color="auto" w:fill="FFFFFF"/>
        <w:spacing w:after="0" w:line="255" w:lineRule="atLeast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101D66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</w:rPr>
        <w:br/>
      </w:r>
      <w:r w:rsidRPr="00101D66">
        <w:rPr>
          <w:rFonts w:ascii="inherit" w:eastAsia="Times New Roman" w:hAnsi="inherit" w:cs="Arial"/>
          <w:color w:val="333333"/>
          <w:sz w:val="24"/>
          <w:szCs w:val="24"/>
        </w:rPr>
        <w:t>262-347-6091</w:t>
      </w:r>
    </w:p>
    <w:p w:rsidR="00CB5518" w:rsidRPr="00101D66" w:rsidRDefault="00CB5518">
      <w:pPr>
        <w:rPr>
          <w:sz w:val="24"/>
          <w:szCs w:val="24"/>
        </w:rPr>
      </w:pPr>
    </w:p>
    <w:sectPr w:rsidR="00CB5518" w:rsidRPr="00101D66" w:rsidSect="00CB5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091B"/>
    <w:rsid w:val="00101D66"/>
    <w:rsid w:val="003B0B72"/>
    <w:rsid w:val="0059091B"/>
    <w:rsid w:val="005D4673"/>
    <w:rsid w:val="006F1F6B"/>
    <w:rsid w:val="00CB5518"/>
    <w:rsid w:val="00E4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ject">
    <w:name w:val="subject"/>
    <w:basedOn w:val="Normal"/>
    <w:rsid w:val="0059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">
    <w:name w:val="to"/>
    <w:basedOn w:val="Normal"/>
    <w:rsid w:val="0059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59091B"/>
  </w:style>
  <w:style w:type="character" w:styleId="Strong">
    <w:name w:val="Strong"/>
    <w:basedOn w:val="DefaultParagraphFont"/>
    <w:uiPriority w:val="22"/>
    <w:qFormat/>
    <w:rsid w:val="0059091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9091B"/>
    <w:rPr>
      <w:color w:val="0000FF"/>
      <w:u w:val="single"/>
    </w:rPr>
  </w:style>
  <w:style w:type="paragraph" w:customStyle="1" w:styleId="date">
    <w:name w:val="date"/>
    <w:basedOn w:val="Normal"/>
    <w:rsid w:val="0059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59091B"/>
  </w:style>
  <w:style w:type="table" w:styleId="TableGrid">
    <w:name w:val="Table Grid"/>
    <w:basedOn w:val="TableNormal"/>
    <w:uiPriority w:val="59"/>
    <w:rsid w:val="00101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D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720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224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etermwells@peterwells.u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ED8E5-06C1-4AF3-931E-87E691CD4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2014-06-03T16:19:00Z</dcterms:created>
  <dcterms:modified xsi:type="dcterms:W3CDTF">2014-06-03T16:19:00Z</dcterms:modified>
</cp:coreProperties>
</file>